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CD" w:rsidRDefault="00874855">
      <w:pPr>
        <w:tabs>
          <w:tab w:val="left" w:pos="3277"/>
        </w:tabs>
        <w:ind w:left="239"/>
        <w:rPr>
          <w:rFonts w:ascii="Times New Roman"/>
          <w:sz w:val="20"/>
        </w:rPr>
      </w:pPr>
      <w:r>
        <w:pict>
          <v:line id="_x0000_s1079" style="position:absolute;left:0;text-align:left;z-index:-253700096;mso-position-horizontal-relative:page;mso-position-vertical-relative:page" from="56.1pt,172.3pt" to="56.1pt,179.5pt" strokeweight=".84pt">
            <w10:wrap anchorx="page" anchory="page"/>
          </v:line>
        </w:pict>
      </w:r>
      <w:r>
        <w:pict>
          <v:rect id="_x0000_s1078" style="position:absolute;left:0;text-align:left;margin-left:244.1pt;margin-top:246.6pt;width:2.3pt;height:.7pt;z-index:-253699072;mso-position-horizontal-relative:page;mso-position-vertical-relative:page" fillcolor="black" stroked="f">
            <w10:wrap anchorx="page" anchory="page"/>
          </v:rect>
        </w:pict>
      </w:r>
      <w:r w:rsidR="00F959F3">
        <w:rPr>
          <w:rFonts w:ascii="Times New Roman"/>
          <w:noProof/>
          <w:position w:val="7"/>
          <w:sz w:val="20"/>
          <w:lang w:val="en-CA" w:eastAsia="en-CA"/>
        </w:rPr>
        <w:drawing>
          <wp:inline distT="0" distB="0" distL="0" distR="0">
            <wp:extent cx="1557925" cy="650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25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9F3">
        <w:rPr>
          <w:rFonts w:ascii="Times New Roman"/>
          <w:position w:val="7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width:416.2pt;height:53.9pt;mso-left-percent:-10001;mso-top-percent:-10001;mso-position-horizontal:absolute;mso-position-horizontal-relative:char;mso-position-vertical:absolute;mso-position-vertical-relative:line;mso-left-percent:-10001;mso-top-percent:-10001" fillcolor="#00a8cc" stroked="f">
            <v:textbox inset="0,0,0,0">
              <w:txbxContent>
                <w:p w:rsidR="00DB32CD" w:rsidRDefault="00DB32CD">
                  <w:pPr>
                    <w:pStyle w:val="BodyText"/>
                    <w:spacing w:before="2"/>
                    <w:rPr>
                      <w:rFonts w:ascii="Times New Roman"/>
                      <w:sz w:val="31"/>
                    </w:rPr>
                  </w:pPr>
                </w:p>
                <w:p w:rsidR="00DB32CD" w:rsidRDefault="00F959F3">
                  <w:pPr>
                    <w:ind w:left="335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HOSPITAL RATE SCHEDULE</w:t>
                  </w:r>
                </w:p>
                <w:p w:rsidR="00DB32CD" w:rsidRDefault="00AB45CE" w:rsidP="00AB45CE">
                  <w:pPr>
                    <w:spacing w:before="124"/>
                    <w:ind w:right="-15"/>
                    <w:jc w:val="center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                                                                                                                      </w:t>
                  </w:r>
                  <w:r w:rsidR="00874855">
                    <w:rPr>
                      <w:color w:val="FFFFFF"/>
                      <w:sz w:val="19"/>
                    </w:rPr>
                    <w:t>E</w:t>
                  </w:r>
                  <w:r w:rsidR="00087EBB">
                    <w:rPr>
                      <w:color w:val="FFFFFF"/>
                      <w:sz w:val="19"/>
                    </w:rPr>
                    <w:t xml:space="preserve">ffective </w:t>
                  </w:r>
                  <w:r w:rsidR="00874855">
                    <w:rPr>
                      <w:color w:val="FFFFFF"/>
                      <w:sz w:val="19"/>
                    </w:rPr>
                    <w:t>August 1, 2023</w:t>
                  </w:r>
                </w:p>
              </w:txbxContent>
            </v:textbox>
            <w10:wrap type="none"/>
            <w10:anchorlock/>
          </v:shape>
        </w:pict>
      </w:r>
    </w:p>
    <w:p w:rsidR="00DB32CD" w:rsidRDefault="00DB32CD"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3538"/>
        <w:gridCol w:w="1731"/>
        <w:gridCol w:w="1731"/>
        <w:gridCol w:w="1733"/>
      </w:tblGrid>
      <w:tr w:rsidR="00DB32CD" w:rsidTr="00087EBB">
        <w:trPr>
          <w:trHeight w:val="652"/>
        </w:trPr>
        <w:tc>
          <w:tcPr>
            <w:tcW w:w="6157" w:type="dxa"/>
            <w:gridSpan w:val="2"/>
          </w:tcPr>
          <w:p w:rsidR="00DB32CD" w:rsidRDefault="00F959F3">
            <w:pPr>
              <w:pStyle w:val="TableParagraph"/>
              <w:spacing w:before="80"/>
              <w:ind w:left="1163" w:right="1133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Questions? Call Financial Services at:</w:t>
            </w:r>
          </w:p>
          <w:p w:rsidR="00DB32CD" w:rsidRDefault="00F959F3">
            <w:pPr>
              <w:pStyle w:val="TableParagraph"/>
              <w:spacing w:before="17"/>
              <w:ind w:left="1157" w:right="113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010101"/>
                <w:w w:val="105"/>
              </w:rPr>
              <w:t xml:space="preserve">905-632-3737  </w:t>
            </w:r>
            <w:r>
              <w:rPr>
                <w:b/>
                <w:color w:val="010101"/>
                <w:w w:val="105"/>
                <w:sz w:val="15"/>
              </w:rPr>
              <w:t xml:space="preserve">X </w:t>
            </w:r>
            <w:r>
              <w:rPr>
                <w:rFonts w:ascii="Times New Roman"/>
                <w:b/>
                <w:color w:val="010101"/>
                <w:w w:val="105"/>
              </w:rPr>
              <w:t>4833</w:t>
            </w:r>
          </w:p>
        </w:tc>
        <w:tc>
          <w:tcPr>
            <w:tcW w:w="1731" w:type="dxa"/>
            <w:shd w:val="clear" w:color="auto" w:fill="BFBFBF"/>
          </w:tcPr>
          <w:p w:rsidR="00DB32CD" w:rsidRDefault="00DB32CD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DB32CD" w:rsidRDefault="00F959F3">
            <w:pPr>
              <w:pStyle w:val="TableParagraph"/>
              <w:ind w:left="265" w:right="234"/>
              <w:rPr>
                <w:b/>
                <w:sz w:val="16"/>
              </w:rPr>
            </w:pPr>
            <w:r>
              <w:rPr>
                <w:b/>
                <w:color w:val="010101"/>
                <w:w w:val="105"/>
                <w:sz w:val="16"/>
              </w:rPr>
              <w:t>OHIP PATIENT</w:t>
            </w:r>
          </w:p>
        </w:tc>
        <w:tc>
          <w:tcPr>
            <w:tcW w:w="1731" w:type="dxa"/>
            <w:shd w:val="clear" w:color="auto" w:fill="BFBFBF"/>
          </w:tcPr>
          <w:p w:rsidR="00DB32CD" w:rsidRDefault="00F959F3">
            <w:pPr>
              <w:pStyle w:val="TableParagraph"/>
              <w:spacing w:before="132" w:line="276" w:lineRule="auto"/>
              <w:ind w:left="400" w:hanging="39"/>
              <w:jc w:val="left"/>
              <w:rPr>
                <w:b/>
                <w:sz w:val="16"/>
              </w:rPr>
            </w:pPr>
            <w:r>
              <w:rPr>
                <w:b/>
                <w:color w:val="010101"/>
                <w:sz w:val="16"/>
              </w:rPr>
              <w:t>UNINSURED RESIDENTS</w:t>
            </w:r>
          </w:p>
        </w:tc>
        <w:tc>
          <w:tcPr>
            <w:tcW w:w="1733" w:type="dxa"/>
            <w:shd w:val="clear" w:color="auto" w:fill="BFBFBF"/>
          </w:tcPr>
          <w:p w:rsidR="00DB32CD" w:rsidRDefault="00F959F3">
            <w:pPr>
              <w:pStyle w:val="TableParagraph"/>
              <w:spacing w:before="7" w:line="212" w:lineRule="exact"/>
              <w:ind w:left="171" w:right="182"/>
              <w:rPr>
                <w:b/>
                <w:sz w:val="16"/>
              </w:rPr>
            </w:pPr>
            <w:r>
              <w:rPr>
                <w:b/>
                <w:color w:val="010101"/>
                <w:sz w:val="16"/>
              </w:rPr>
              <w:t xml:space="preserve">NON-RESIDENTS </w:t>
            </w:r>
            <w:r>
              <w:rPr>
                <w:b/>
                <w:color w:val="010101"/>
                <w:w w:val="105"/>
                <w:sz w:val="16"/>
              </w:rPr>
              <w:t>OF CANADA (VISITORS)</w:t>
            </w:r>
          </w:p>
        </w:tc>
      </w:tr>
      <w:tr w:rsidR="00DB32CD" w:rsidTr="00087EBB">
        <w:trPr>
          <w:trHeight w:val="409"/>
        </w:trPr>
        <w:tc>
          <w:tcPr>
            <w:tcW w:w="6157" w:type="dxa"/>
            <w:gridSpan w:val="2"/>
            <w:shd w:val="clear" w:color="auto" w:fill="BFBFBF"/>
          </w:tcPr>
          <w:p w:rsidR="00DB32CD" w:rsidRDefault="00F959F3">
            <w:pPr>
              <w:pStyle w:val="TableParagraph"/>
              <w:spacing w:before="91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Inpatient Daily Charges:</w:t>
            </w:r>
          </w:p>
        </w:tc>
        <w:tc>
          <w:tcPr>
            <w:tcW w:w="1731" w:type="dxa"/>
            <w:shd w:val="clear" w:color="auto" w:fill="BFBFBF"/>
          </w:tcPr>
          <w:p w:rsidR="00DB32CD" w:rsidRDefault="00F959F3">
            <w:pPr>
              <w:pStyle w:val="TableParagraph"/>
              <w:spacing w:before="82"/>
              <w:ind w:left="265" w:right="22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OH</w:t>
            </w:r>
          </w:p>
        </w:tc>
        <w:tc>
          <w:tcPr>
            <w:tcW w:w="1731" w:type="dxa"/>
            <w:shd w:val="clear" w:color="auto" w:fill="BFBFBF"/>
          </w:tcPr>
          <w:p w:rsidR="00DB32CD" w:rsidRDefault="00F959F3">
            <w:pPr>
              <w:pStyle w:val="TableParagraph"/>
              <w:spacing w:before="56"/>
              <w:ind w:left="265" w:right="221"/>
              <w:rPr>
                <w:rFonts w:ascii="Courier New"/>
                <w:b/>
                <w:sz w:val="29"/>
              </w:rPr>
            </w:pPr>
            <w:r>
              <w:rPr>
                <w:rFonts w:ascii="Courier New"/>
                <w:b/>
                <w:color w:val="010101"/>
                <w:sz w:val="29"/>
              </w:rPr>
              <w:t>UR</w:t>
            </w:r>
          </w:p>
        </w:tc>
        <w:tc>
          <w:tcPr>
            <w:tcW w:w="1733" w:type="dxa"/>
            <w:shd w:val="clear" w:color="auto" w:fill="BFBFBF"/>
          </w:tcPr>
          <w:p w:rsidR="00DB32CD" w:rsidRDefault="00F959F3">
            <w:pPr>
              <w:pStyle w:val="TableParagraph"/>
              <w:spacing w:before="87"/>
              <w:ind w:left="171" w:right="12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OC</w:t>
            </w:r>
          </w:p>
        </w:tc>
      </w:tr>
      <w:tr w:rsidR="002936B5" w:rsidTr="00087EBB">
        <w:trPr>
          <w:trHeight w:val="249"/>
        </w:trPr>
        <w:tc>
          <w:tcPr>
            <w:tcW w:w="2619" w:type="dxa"/>
            <w:vMerge w:val="restart"/>
            <w:tcBorders>
              <w:right w:val="nil"/>
            </w:tcBorders>
          </w:tcPr>
          <w:p w:rsidR="002936B5" w:rsidRPr="00946055" w:rsidRDefault="002936B5" w:rsidP="002936B5">
            <w:pPr>
              <w:pStyle w:val="TableParagraph"/>
              <w:spacing w:before="7"/>
              <w:ind w:left="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36B5" w:rsidRPr="00946055" w:rsidRDefault="002936B5" w:rsidP="002936B5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36B5" w:rsidRPr="00946055" w:rsidRDefault="00874855" w:rsidP="002936B5">
            <w:pPr>
              <w:pStyle w:val="TableParagraph"/>
              <w:spacing w:line="268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pict>
                <v:oval id="_x0000_s1087" style="position:absolute;margin-left:20.15pt;margin-top:7.2pt;width:32.25pt;height:21pt;z-index:251700224" strokecolor="white [3212]"/>
              </w:pict>
            </w:r>
          </w:p>
          <w:p w:rsidR="002936B5" w:rsidRPr="00946055" w:rsidRDefault="002936B5" w:rsidP="0029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8" w:type="dxa"/>
            <w:vMerge w:val="restart"/>
            <w:tcBorders>
              <w:left w:val="nil"/>
            </w:tcBorders>
          </w:tcPr>
          <w:p w:rsidR="002936B5" w:rsidRPr="00946055" w:rsidRDefault="002936B5" w:rsidP="002936B5">
            <w:pPr>
              <w:pStyle w:val="TableParagraph"/>
              <w:tabs>
                <w:tab w:val="left" w:pos="570"/>
              </w:tabs>
              <w:spacing w:before="2"/>
              <w:ind w:left="56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36B5" w:rsidRPr="00946055" w:rsidRDefault="00946055" w:rsidP="00946055">
            <w:pPr>
              <w:pStyle w:val="TableParagraph"/>
              <w:tabs>
                <w:tab w:val="left" w:pos="570"/>
              </w:tabs>
              <w:spacing w:before="2"/>
              <w:ind w:left="56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              </w:t>
            </w:r>
            <w:r w:rsidR="002C26FA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</w:t>
            </w:r>
            <w:r w:rsidR="002936B5"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Standard</w:t>
            </w:r>
            <w:r w:rsidR="002936B5" w:rsidRPr="00946055">
              <w:rPr>
                <w:rFonts w:asciiTheme="minorHAnsi" w:hAnsiTheme="minorHAnsi" w:cstheme="minorHAnsi"/>
                <w:color w:val="010101"/>
                <w:spacing w:val="4"/>
                <w:sz w:val="20"/>
                <w:szCs w:val="20"/>
              </w:rPr>
              <w:t xml:space="preserve"> </w:t>
            </w:r>
            <w:r w:rsidR="002936B5"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Ward</w:t>
            </w:r>
          </w:p>
          <w:p w:rsidR="002936B5" w:rsidRPr="00946055" w:rsidRDefault="00946055" w:rsidP="00946055">
            <w:pPr>
              <w:pStyle w:val="TableParagraph"/>
              <w:tabs>
                <w:tab w:val="left" w:pos="570"/>
              </w:tabs>
              <w:spacing w:before="22" w:line="217" w:lineRule="exact"/>
              <w:ind w:left="56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             </w:t>
            </w:r>
            <w:r w:rsidR="002C26FA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</w:t>
            </w:r>
            <w:r w:rsidR="002936B5"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ICU</w:t>
            </w:r>
          </w:p>
          <w:p w:rsidR="002936B5" w:rsidRPr="00946055" w:rsidRDefault="00946055" w:rsidP="00946055">
            <w:pPr>
              <w:pStyle w:val="TableParagraph"/>
              <w:tabs>
                <w:tab w:val="left" w:pos="566"/>
              </w:tabs>
              <w:spacing w:line="217" w:lineRule="exact"/>
              <w:ind w:left="5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            </w:t>
            </w:r>
            <w:r w:rsidR="002C26FA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 </w:t>
            </w:r>
            <w:r w:rsidR="002936B5"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Newborn</w:t>
            </w:r>
          </w:p>
          <w:p w:rsidR="002936B5" w:rsidRPr="00946055" w:rsidRDefault="00946055" w:rsidP="00946055">
            <w:pPr>
              <w:pStyle w:val="TableParagraph"/>
              <w:tabs>
                <w:tab w:val="left" w:pos="570"/>
              </w:tabs>
              <w:spacing w:line="217" w:lineRule="exact"/>
              <w:ind w:left="5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              </w:t>
            </w:r>
            <w:r w:rsidR="002C26FA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</w:t>
            </w:r>
            <w:r w:rsidR="002936B5"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NICU</w:t>
            </w:r>
          </w:p>
        </w:tc>
        <w:tc>
          <w:tcPr>
            <w:tcW w:w="1731" w:type="dxa"/>
            <w:tcBorders>
              <w:bottom w:val="nil"/>
            </w:tcBorders>
          </w:tcPr>
          <w:p w:rsidR="002936B5" w:rsidRPr="002C26FA" w:rsidRDefault="002936B5" w:rsidP="002936B5">
            <w:pPr>
              <w:pStyle w:val="TableParagraph"/>
              <w:spacing w:before="22" w:line="207" w:lineRule="exact"/>
              <w:ind w:left="578"/>
              <w:jc w:val="left"/>
              <w:rPr>
                <w:rFonts w:asciiTheme="minorHAnsi" w:hAnsiTheme="minorHAnsi" w:cstheme="minorHAnsi"/>
                <w:b/>
                <w:color w:val="010101"/>
                <w:sz w:val="20"/>
                <w:szCs w:val="20"/>
              </w:rPr>
            </w:pPr>
          </w:p>
          <w:p w:rsidR="002936B5" w:rsidRPr="002C26FA" w:rsidRDefault="002936B5" w:rsidP="002936B5">
            <w:pPr>
              <w:pStyle w:val="TableParagraph"/>
              <w:spacing w:before="22" w:line="207" w:lineRule="exact"/>
              <w:ind w:left="578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26FA">
              <w:rPr>
                <w:rFonts w:asciiTheme="minorHAnsi" w:hAnsiTheme="minorHAnsi" w:cstheme="minorHAnsi"/>
                <w:b/>
                <w:color w:val="010101"/>
                <w:sz w:val="20"/>
                <w:szCs w:val="20"/>
              </w:rPr>
              <w:t xml:space="preserve">    -</w:t>
            </w:r>
          </w:p>
        </w:tc>
        <w:tc>
          <w:tcPr>
            <w:tcW w:w="1731" w:type="dxa"/>
            <w:tcBorders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22" w:line="207" w:lineRule="exact"/>
              <w:ind w:left="578"/>
              <w:jc w:val="left"/>
              <w:rPr>
                <w:rFonts w:asciiTheme="minorHAnsi" w:hAnsiTheme="minorHAnsi" w:cstheme="minorHAnsi"/>
                <w:color w:val="010101"/>
                <w:sz w:val="20"/>
                <w:szCs w:val="20"/>
              </w:rPr>
            </w:pPr>
          </w:p>
          <w:p w:rsidR="002936B5" w:rsidRPr="00946055" w:rsidRDefault="002936B5" w:rsidP="002936B5">
            <w:pPr>
              <w:pStyle w:val="TableParagraph"/>
              <w:spacing w:before="22" w:line="207" w:lineRule="exact"/>
              <w:ind w:left="57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$2,000</w:t>
            </w:r>
            <w:bookmarkStart w:id="0" w:name="_GoBack"/>
            <w:bookmarkEnd w:id="0"/>
          </w:p>
        </w:tc>
        <w:tc>
          <w:tcPr>
            <w:tcW w:w="1733" w:type="dxa"/>
            <w:tcBorders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26" w:line="203" w:lineRule="exact"/>
              <w:ind w:left="583"/>
              <w:jc w:val="left"/>
              <w:rPr>
                <w:rFonts w:asciiTheme="minorHAnsi" w:hAnsiTheme="minorHAnsi" w:cstheme="minorHAnsi"/>
                <w:color w:val="010101"/>
                <w:sz w:val="20"/>
                <w:szCs w:val="20"/>
              </w:rPr>
            </w:pPr>
          </w:p>
          <w:p w:rsidR="002936B5" w:rsidRPr="00946055" w:rsidRDefault="002936B5" w:rsidP="002936B5">
            <w:pPr>
              <w:pStyle w:val="TableParagraph"/>
              <w:spacing w:before="26" w:line="203" w:lineRule="exact"/>
              <w:ind w:left="5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$3,300</w:t>
            </w:r>
          </w:p>
        </w:tc>
      </w:tr>
      <w:tr w:rsidR="002936B5" w:rsidTr="00087EBB">
        <w:trPr>
          <w:trHeight w:val="227"/>
        </w:trPr>
        <w:tc>
          <w:tcPr>
            <w:tcW w:w="2619" w:type="dxa"/>
            <w:vMerge/>
            <w:tcBorders>
              <w:top w:val="nil"/>
              <w:right w:val="nil"/>
            </w:tcBorders>
          </w:tcPr>
          <w:p w:rsidR="002936B5" w:rsidRPr="00946055" w:rsidRDefault="002936B5" w:rsidP="0029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nil"/>
              <w:left w:val="nil"/>
            </w:tcBorders>
          </w:tcPr>
          <w:p w:rsidR="002936B5" w:rsidRPr="00946055" w:rsidRDefault="002936B5" w:rsidP="0029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Pr="002C26FA" w:rsidRDefault="002936B5" w:rsidP="002936B5">
            <w:pPr>
              <w:pStyle w:val="TableParagraph"/>
              <w:spacing w:line="208" w:lineRule="exact"/>
              <w:ind w:left="265" w:right="22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26FA">
              <w:rPr>
                <w:rFonts w:asciiTheme="minorHAnsi" w:hAnsiTheme="minorHAnsi" w:cstheme="minorHAnsi"/>
                <w:b/>
                <w:color w:val="010101"/>
                <w:sz w:val="20"/>
                <w:szCs w:val="20"/>
              </w:rPr>
              <w:t xml:space="preserve">         </w:t>
            </w:r>
            <w:r w:rsidR="002C26FA" w:rsidRPr="002C26FA">
              <w:rPr>
                <w:rFonts w:asciiTheme="minorHAnsi" w:hAnsiTheme="minorHAnsi" w:cstheme="minorHAnsi"/>
                <w:b/>
                <w:color w:val="010101"/>
                <w:sz w:val="20"/>
                <w:szCs w:val="20"/>
              </w:rPr>
              <w:t xml:space="preserve"> </w:t>
            </w:r>
            <w:r w:rsidRPr="002C26FA">
              <w:rPr>
                <w:rFonts w:asciiTheme="minorHAnsi" w:hAnsiTheme="minorHAnsi" w:cstheme="minorHAnsi"/>
                <w:b/>
                <w:color w:val="010101"/>
                <w:sz w:val="20"/>
                <w:szCs w:val="20"/>
              </w:rPr>
              <w:t xml:space="preserve"> -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Pr="00946055" w:rsidRDefault="002C26FA" w:rsidP="002C26FA">
            <w:pPr>
              <w:pStyle w:val="TableParagraph"/>
              <w:spacing w:line="208" w:lineRule="exact"/>
              <w:ind w:left="265" w:right="2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 xml:space="preserve">       </w:t>
            </w:r>
            <w:r w:rsidR="002936B5"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$2,200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line="208" w:lineRule="exact"/>
              <w:ind w:left="59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$4,200</w:t>
            </w:r>
          </w:p>
        </w:tc>
      </w:tr>
      <w:tr w:rsidR="002936B5" w:rsidTr="00087EBB">
        <w:trPr>
          <w:trHeight w:val="333"/>
        </w:trPr>
        <w:tc>
          <w:tcPr>
            <w:tcW w:w="2619" w:type="dxa"/>
            <w:vMerge/>
            <w:tcBorders>
              <w:top w:val="nil"/>
              <w:right w:val="nil"/>
            </w:tcBorders>
          </w:tcPr>
          <w:p w:rsidR="002936B5" w:rsidRPr="00946055" w:rsidRDefault="002936B5" w:rsidP="0029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nil"/>
              <w:left w:val="nil"/>
            </w:tcBorders>
          </w:tcPr>
          <w:p w:rsidR="002936B5" w:rsidRPr="00946055" w:rsidRDefault="002936B5" w:rsidP="0029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Pr="002C26FA" w:rsidRDefault="002936B5" w:rsidP="002936B5">
            <w:pPr>
              <w:pStyle w:val="TableParagraph"/>
              <w:spacing w:before="5"/>
              <w:ind w:left="578"/>
              <w:jc w:val="left"/>
              <w:rPr>
                <w:rFonts w:asciiTheme="minorHAnsi" w:hAnsiTheme="minorHAnsi" w:cstheme="minorHAnsi"/>
                <w:b/>
                <w:color w:val="010101"/>
                <w:w w:val="105"/>
                <w:sz w:val="20"/>
                <w:szCs w:val="20"/>
              </w:rPr>
            </w:pPr>
            <w:r w:rsidRPr="002C26FA">
              <w:rPr>
                <w:rFonts w:asciiTheme="minorHAnsi" w:hAnsiTheme="minorHAnsi" w:cstheme="minorHAnsi"/>
                <w:b/>
                <w:color w:val="010101"/>
                <w:w w:val="105"/>
                <w:sz w:val="20"/>
                <w:szCs w:val="20"/>
              </w:rPr>
              <w:t xml:space="preserve">    -</w:t>
            </w:r>
          </w:p>
          <w:p w:rsidR="002936B5" w:rsidRPr="002C26FA" w:rsidRDefault="002936B5" w:rsidP="002936B5">
            <w:pPr>
              <w:pStyle w:val="TableParagraph"/>
              <w:spacing w:before="5"/>
              <w:ind w:left="578"/>
              <w:jc w:val="left"/>
              <w:rPr>
                <w:rFonts w:asciiTheme="minorHAnsi" w:hAnsiTheme="minorHAnsi" w:cstheme="minorHAnsi"/>
                <w:b/>
                <w:color w:val="010101"/>
                <w:w w:val="105"/>
                <w:sz w:val="20"/>
                <w:szCs w:val="20"/>
              </w:rPr>
            </w:pPr>
            <w:r w:rsidRPr="002C26FA">
              <w:rPr>
                <w:rFonts w:asciiTheme="minorHAnsi" w:hAnsiTheme="minorHAnsi" w:cstheme="minorHAnsi"/>
                <w:b/>
                <w:color w:val="010101"/>
                <w:w w:val="105"/>
                <w:sz w:val="20"/>
                <w:szCs w:val="20"/>
              </w:rPr>
              <w:t xml:space="preserve">    -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Pr="002D222C" w:rsidRDefault="002936B5" w:rsidP="002D222C">
            <w:pPr>
              <w:pStyle w:val="TableParagraph"/>
              <w:spacing w:before="10"/>
              <w:ind w:left="583"/>
              <w:jc w:val="left"/>
              <w:rPr>
                <w:rFonts w:asciiTheme="minorHAnsi" w:hAnsiTheme="minorHAnsi" w:cstheme="minorHAnsi"/>
                <w:color w:val="010101"/>
                <w:sz w:val="20"/>
                <w:szCs w:val="20"/>
              </w:rPr>
            </w:pPr>
            <w:r w:rsidRPr="002D222C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$1,042</w:t>
            </w:r>
          </w:p>
          <w:p w:rsidR="002936B5" w:rsidRPr="00946055" w:rsidRDefault="002936B5" w:rsidP="002D222C">
            <w:pPr>
              <w:pStyle w:val="TableParagraph"/>
              <w:spacing w:before="10"/>
              <w:ind w:left="583"/>
              <w:jc w:val="left"/>
              <w:rPr>
                <w:rFonts w:asciiTheme="minorHAnsi" w:hAnsiTheme="minorHAnsi" w:cstheme="minorHAnsi"/>
                <w:color w:val="010101"/>
                <w:w w:val="105"/>
                <w:sz w:val="20"/>
                <w:szCs w:val="20"/>
              </w:rPr>
            </w:pPr>
            <w:r w:rsidRPr="002D222C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$1,800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10"/>
              <w:ind w:left="583"/>
              <w:jc w:val="left"/>
              <w:rPr>
                <w:rFonts w:asciiTheme="minorHAnsi" w:hAnsiTheme="minorHAnsi" w:cstheme="minorHAnsi"/>
                <w:color w:val="010101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$1,700</w:t>
            </w:r>
          </w:p>
          <w:p w:rsidR="002936B5" w:rsidRPr="00946055" w:rsidRDefault="002936B5" w:rsidP="002936B5">
            <w:pPr>
              <w:pStyle w:val="TableParagraph"/>
              <w:spacing w:before="10"/>
              <w:ind w:left="5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$2,400</w:t>
            </w:r>
          </w:p>
        </w:tc>
      </w:tr>
      <w:tr w:rsidR="002936B5" w:rsidTr="00087EBB">
        <w:trPr>
          <w:trHeight w:val="812"/>
        </w:trPr>
        <w:tc>
          <w:tcPr>
            <w:tcW w:w="2619" w:type="dxa"/>
            <w:vMerge/>
            <w:tcBorders>
              <w:top w:val="nil"/>
              <w:right w:val="nil"/>
            </w:tcBorders>
          </w:tcPr>
          <w:p w:rsidR="002936B5" w:rsidRDefault="002936B5" w:rsidP="002936B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  <w:left w:val="nil"/>
            </w:tcBorders>
          </w:tcPr>
          <w:p w:rsidR="002936B5" w:rsidRDefault="002936B5" w:rsidP="002936B5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Default="002936B5" w:rsidP="002936B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Default="002936B5" w:rsidP="002936B5">
            <w:pPr>
              <w:pStyle w:val="TableParagraph"/>
              <w:spacing w:before="99"/>
              <w:ind w:right="229"/>
              <w:jc w:val="left"/>
              <w:rPr>
                <w:sz w:val="19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936B5" w:rsidRDefault="002936B5" w:rsidP="002936B5">
            <w:pPr>
              <w:pStyle w:val="TableParagraph"/>
              <w:spacing w:before="99"/>
              <w:ind w:left="171" w:right="128"/>
              <w:rPr>
                <w:sz w:val="19"/>
              </w:rPr>
            </w:pPr>
          </w:p>
        </w:tc>
      </w:tr>
      <w:tr w:rsidR="002936B5" w:rsidTr="00087EBB">
        <w:trPr>
          <w:trHeight w:val="407"/>
        </w:trPr>
        <w:tc>
          <w:tcPr>
            <w:tcW w:w="6157" w:type="dxa"/>
            <w:gridSpan w:val="2"/>
            <w:shd w:val="clear" w:color="auto" w:fill="BFBFBF"/>
          </w:tcPr>
          <w:p w:rsidR="002936B5" w:rsidRDefault="002936B5" w:rsidP="002936B5">
            <w:pPr>
              <w:pStyle w:val="TableParagraph"/>
              <w:spacing w:before="98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Preferred Accommodation Daily Charges: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Default="002936B5" w:rsidP="002936B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Default="002936B5" w:rsidP="002936B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936B5" w:rsidRDefault="002936B5" w:rsidP="002936B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936B5" w:rsidTr="00087EBB">
        <w:trPr>
          <w:trHeight w:val="249"/>
        </w:trPr>
        <w:tc>
          <w:tcPr>
            <w:tcW w:w="2619" w:type="dxa"/>
            <w:tcBorders>
              <w:bottom w:val="nil"/>
              <w:right w:val="nil"/>
            </w:tcBorders>
          </w:tcPr>
          <w:p w:rsidR="002936B5" w:rsidRDefault="002936B5" w:rsidP="002936B5">
            <w:pPr>
              <w:pStyle w:val="TableParagraph"/>
              <w:spacing w:before="12" w:line="217" w:lineRule="exact"/>
              <w:ind w:left="39"/>
              <w:jc w:val="left"/>
              <w:rPr>
                <w:sz w:val="19"/>
              </w:rPr>
            </w:pPr>
          </w:p>
        </w:tc>
        <w:tc>
          <w:tcPr>
            <w:tcW w:w="3538" w:type="dxa"/>
            <w:tcBorders>
              <w:left w:val="nil"/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7"/>
              <w:ind w:left="14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Semi Private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17" w:line="212" w:lineRule="exact"/>
              <w:ind w:left="265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$275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17" w:line="212" w:lineRule="exact"/>
              <w:ind w:left="6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$2,200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2936B5" w:rsidRPr="00946055" w:rsidRDefault="002936B5" w:rsidP="002936B5">
            <w:pPr>
              <w:pStyle w:val="TableParagraph"/>
              <w:spacing w:before="22" w:line="208" w:lineRule="exact"/>
              <w:ind w:right="4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$3,600</w:t>
            </w:r>
          </w:p>
        </w:tc>
      </w:tr>
      <w:tr w:rsidR="002936B5" w:rsidTr="00087EBB">
        <w:trPr>
          <w:trHeight w:val="570"/>
        </w:trPr>
        <w:tc>
          <w:tcPr>
            <w:tcW w:w="2619" w:type="dxa"/>
            <w:tcBorders>
              <w:top w:val="nil"/>
              <w:right w:val="nil"/>
            </w:tcBorders>
          </w:tcPr>
          <w:p w:rsidR="002936B5" w:rsidRDefault="002936B5" w:rsidP="002936B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nil"/>
              <w:left w:val="nil"/>
            </w:tcBorders>
          </w:tcPr>
          <w:p w:rsidR="002936B5" w:rsidRPr="00946055" w:rsidRDefault="002936B5" w:rsidP="002936B5">
            <w:pPr>
              <w:pStyle w:val="TableParagraph"/>
              <w:spacing w:before="3"/>
              <w:ind w:left="14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Private</w:t>
            </w:r>
          </w:p>
        </w:tc>
        <w:tc>
          <w:tcPr>
            <w:tcW w:w="1731" w:type="dxa"/>
            <w:tcBorders>
              <w:top w:val="nil"/>
            </w:tcBorders>
          </w:tcPr>
          <w:p w:rsidR="002936B5" w:rsidRPr="00946055" w:rsidRDefault="002936B5" w:rsidP="002936B5">
            <w:pPr>
              <w:pStyle w:val="TableParagraph"/>
              <w:spacing w:before="12"/>
              <w:ind w:left="265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$310</w:t>
            </w:r>
          </w:p>
        </w:tc>
        <w:tc>
          <w:tcPr>
            <w:tcW w:w="1731" w:type="dxa"/>
            <w:tcBorders>
              <w:top w:val="nil"/>
            </w:tcBorders>
          </w:tcPr>
          <w:p w:rsidR="002936B5" w:rsidRPr="00946055" w:rsidRDefault="002936B5" w:rsidP="002936B5">
            <w:pPr>
              <w:pStyle w:val="TableParagraph"/>
              <w:spacing w:before="17"/>
              <w:ind w:left="6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$2,400</w:t>
            </w:r>
          </w:p>
        </w:tc>
        <w:tc>
          <w:tcPr>
            <w:tcW w:w="1733" w:type="dxa"/>
            <w:tcBorders>
              <w:top w:val="nil"/>
            </w:tcBorders>
          </w:tcPr>
          <w:p w:rsidR="002936B5" w:rsidRPr="00946055" w:rsidRDefault="002936B5" w:rsidP="002936B5">
            <w:pPr>
              <w:pStyle w:val="TableParagraph"/>
              <w:spacing w:before="17"/>
              <w:ind w:right="4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46055">
              <w:rPr>
                <w:rFonts w:asciiTheme="minorHAnsi" w:hAnsiTheme="minorHAnsi" w:cstheme="minorHAnsi"/>
                <w:color w:val="010101"/>
                <w:sz w:val="20"/>
                <w:szCs w:val="20"/>
              </w:rPr>
              <w:t>$3,700</w:t>
            </w:r>
          </w:p>
        </w:tc>
      </w:tr>
    </w:tbl>
    <w:p w:rsidR="00DB32CD" w:rsidRPr="00F02968" w:rsidRDefault="00F02968" w:rsidP="00F02968">
      <w:pPr>
        <w:pStyle w:val="BodyText"/>
        <w:spacing w:before="2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="Times New Roman"/>
          <w:sz w:val="19"/>
        </w:rPr>
        <w:t xml:space="preserve">      </w:t>
      </w:r>
      <w:r w:rsidRPr="00F02968">
        <w:rPr>
          <w:rFonts w:asciiTheme="minorHAnsi" w:hAnsiTheme="minorHAnsi" w:cstheme="minorHAnsi"/>
          <w:b/>
          <w:i/>
          <w:sz w:val="18"/>
          <w:szCs w:val="18"/>
        </w:rPr>
        <w:t xml:space="preserve">These rates are in line with peer hospitals in our local area. </w:t>
      </w:r>
      <w:r w:rsidRPr="00F02968">
        <w:rPr>
          <w:rFonts w:asciiTheme="minorHAnsi" w:hAnsiTheme="minorHAnsi" w:cstheme="minorHAnsi"/>
          <w:b/>
          <w:i/>
          <w:sz w:val="18"/>
          <w:szCs w:val="18"/>
        </w:rPr>
        <w:tab/>
      </w:r>
    </w:p>
    <w:p w:rsidR="00DB32CD" w:rsidRPr="00895932" w:rsidRDefault="00DB32CD">
      <w:pPr>
        <w:pStyle w:val="BodyText"/>
        <w:spacing w:before="9"/>
        <w:rPr>
          <w:rFonts w:asciiTheme="minorHAnsi" w:hAnsiTheme="minorHAnsi" w:cstheme="minorHAnsi"/>
          <w:sz w:val="20"/>
          <w:szCs w:val="20"/>
        </w:rPr>
      </w:pPr>
    </w:p>
    <w:p w:rsidR="00DB32CD" w:rsidRDefault="00F959F3" w:rsidP="00087EBB">
      <w:pPr>
        <w:tabs>
          <w:tab w:val="left" w:pos="3597"/>
        </w:tabs>
        <w:spacing w:line="300" w:lineRule="auto"/>
        <w:ind w:left="285" w:right="645"/>
        <w:rPr>
          <w:rFonts w:asciiTheme="minorHAnsi" w:hAnsiTheme="minorHAnsi" w:cstheme="minorHAnsi"/>
          <w:color w:val="010101"/>
          <w:sz w:val="20"/>
          <w:szCs w:val="20"/>
        </w:rPr>
      </w:pPr>
      <w:r w:rsidRPr="00895932">
        <w:rPr>
          <w:rFonts w:asciiTheme="minorHAnsi" w:hAnsiTheme="minorHAnsi" w:cstheme="minorHAnsi"/>
          <w:b/>
          <w:color w:val="010101"/>
          <w:sz w:val="20"/>
          <w:szCs w:val="20"/>
        </w:rPr>
        <w:t xml:space="preserve">IN-PATIENT: </w:t>
      </w:r>
      <w:r w:rsidRPr="00895932">
        <w:rPr>
          <w:rFonts w:asciiTheme="minorHAnsi" w:hAnsiTheme="minorHAnsi" w:cstheme="minorHAnsi"/>
          <w:color w:val="010101"/>
          <w:sz w:val="20"/>
          <w:szCs w:val="20"/>
        </w:rPr>
        <w:t>The</w:t>
      </w:r>
      <w:r w:rsidRPr="00895932">
        <w:rPr>
          <w:rFonts w:asciiTheme="minorHAnsi" w:hAnsiTheme="minorHAnsi" w:cstheme="minorHAnsi"/>
          <w:color w:val="010101"/>
          <w:spacing w:val="31"/>
          <w:sz w:val="20"/>
          <w:szCs w:val="20"/>
        </w:rPr>
        <w:t xml:space="preserve"> </w:t>
      </w:r>
      <w:r w:rsidR="00327A7F" w:rsidRPr="00895932">
        <w:rPr>
          <w:rFonts w:asciiTheme="minorHAnsi" w:hAnsiTheme="minorHAnsi" w:cstheme="minorHAnsi"/>
          <w:color w:val="010101"/>
          <w:sz w:val="20"/>
          <w:szCs w:val="20"/>
        </w:rPr>
        <w:t xml:space="preserve">rates listed above includes </w:t>
      </w:r>
      <w:r w:rsidRPr="00895932">
        <w:rPr>
          <w:rFonts w:asciiTheme="minorHAnsi" w:hAnsiTheme="minorHAnsi" w:cstheme="minorHAnsi"/>
          <w:color w:val="010101"/>
          <w:sz w:val="20"/>
          <w:szCs w:val="20"/>
        </w:rPr>
        <w:t xml:space="preserve">recovery and In-Patient time, however excludes Medical Equipment, Rentals and Physician Charges. </w:t>
      </w:r>
      <w:r w:rsidR="004C4B93">
        <w:rPr>
          <w:rFonts w:asciiTheme="minorHAnsi" w:hAnsiTheme="minorHAnsi" w:cstheme="minorHAnsi"/>
          <w:color w:val="010101"/>
          <w:sz w:val="20"/>
          <w:szCs w:val="20"/>
        </w:rPr>
        <w:t>Please note that</w:t>
      </w:r>
      <w:r w:rsidRPr="00895932">
        <w:rPr>
          <w:rFonts w:asciiTheme="minorHAnsi" w:hAnsiTheme="minorHAnsi" w:cstheme="minorHAnsi"/>
          <w:color w:val="010101"/>
          <w:sz w:val="20"/>
          <w:szCs w:val="20"/>
        </w:rPr>
        <w:t xml:space="preserve"> for Uninsured and Out of Co</w:t>
      </w:r>
      <w:r w:rsidR="004C4B93">
        <w:rPr>
          <w:rFonts w:asciiTheme="minorHAnsi" w:hAnsiTheme="minorHAnsi" w:cstheme="minorHAnsi"/>
          <w:color w:val="010101"/>
          <w:sz w:val="20"/>
          <w:szCs w:val="20"/>
        </w:rPr>
        <w:t xml:space="preserve">untry (OC) visitors, CT and </w:t>
      </w:r>
      <w:proofErr w:type="spellStart"/>
      <w:r w:rsidR="004C4B93">
        <w:rPr>
          <w:rFonts w:asciiTheme="minorHAnsi" w:hAnsiTheme="minorHAnsi" w:cstheme="minorHAnsi"/>
          <w:color w:val="010101"/>
          <w:sz w:val="20"/>
          <w:szCs w:val="20"/>
        </w:rPr>
        <w:t>MRl</w:t>
      </w:r>
      <w:proofErr w:type="spellEnd"/>
      <w:r w:rsidRPr="00895932">
        <w:rPr>
          <w:rFonts w:asciiTheme="minorHAnsi" w:hAnsiTheme="minorHAnsi" w:cstheme="minorHAnsi"/>
          <w:color w:val="010101"/>
          <w:sz w:val="20"/>
          <w:szCs w:val="20"/>
        </w:rPr>
        <w:t xml:space="preserve"> charges are</w:t>
      </w:r>
      <w:r w:rsidRPr="00895932">
        <w:rPr>
          <w:rFonts w:asciiTheme="minorHAnsi" w:hAnsiTheme="minorHAnsi" w:cstheme="minorHAnsi"/>
          <w:color w:val="010101"/>
          <w:spacing w:val="-5"/>
          <w:sz w:val="20"/>
          <w:szCs w:val="20"/>
        </w:rPr>
        <w:t xml:space="preserve"> </w:t>
      </w:r>
      <w:r w:rsidR="00087EBB" w:rsidRPr="00895932">
        <w:rPr>
          <w:rFonts w:asciiTheme="minorHAnsi" w:hAnsiTheme="minorHAnsi" w:cstheme="minorHAnsi"/>
          <w:color w:val="010101"/>
          <w:sz w:val="20"/>
          <w:szCs w:val="20"/>
        </w:rPr>
        <w:t>extr</w:t>
      </w:r>
      <w:r w:rsidR="00D61917" w:rsidRPr="00895932">
        <w:rPr>
          <w:rFonts w:asciiTheme="minorHAnsi" w:hAnsiTheme="minorHAnsi" w:cstheme="minorHAnsi"/>
          <w:color w:val="010101"/>
          <w:sz w:val="20"/>
          <w:szCs w:val="20"/>
        </w:rPr>
        <w:t>a.</w:t>
      </w:r>
    </w:p>
    <w:p w:rsidR="00522712" w:rsidRDefault="00522712" w:rsidP="00087EBB">
      <w:pPr>
        <w:tabs>
          <w:tab w:val="left" w:pos="3597"/>
        </w:tabs>
        <w:spacing w:line="300" w:lineRule="auto"/>
        <w:ind w:left="285" w:right="645"/>
        <w:rPr>
          <w:rFonts w:asciiTheme="minorHAnsi" w:hAnsiTheme="minorHAnsi" w:cstheme="minorHAnsi"/>
          <w:color w:val="010101"/>
          <w:sz w:val="20"/>
          <w:szCs w:val="20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5"/>
      </w:tblGrid>
      <w:tr w:rsidR="00522712" w:rsidTr="00CA6EDD">
        <w:trPr>
          <w:trHeight w:val="395"/>
        </w:trPr>
        <w:tc>
          <w:tcPr>
            <w:tcW w:w="11275" w:type="dxa"/>
            <w:shd w:val="clear" w:color="auto" w:fill="BFBFBF"/>
          </w:tcPr>
          <w:p w:rsidR="00522712" w:rsidRDefault="00FD2879" w:rsidP="00107013">
            <w:pPr>
              <w:pStyle w:val="TableParagraph"/>
              <w:spacing w:before="87"/>
              <w:ind w:right="12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CO-PAYMENT FEES:</w:t>
            </w:r>
            <w:r w:rsidR="00CA6EDD">
              <w:rPr>
                <w:b/>
                <w:sz w:val="23"/>
              </w:rPr>
              <w:t xml:space="preserve"> </w:t>
            </w:r>
          </w:p>
        </w:tc>
      </w:tr>
    </w:tbl>
    <w:p w:rsidR="00522712" w:rsidRDefault="009C2D2C" w:rsidP="009C2D2C">
      <w:p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9C2D2C" w:rsidRDefault="009C2D2C" w:rsidP="009C2D2C">
      <w:p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A co-payment charge will be levied for:</w:t>
      </w:r>
    </w:p>
    <w:p w:rsidR="009C2D2C" w:rsidRDefault="009C2D2C" w:rsidP="009C2D2C">
      <w:pPr>
        <w:pStyle w:val="ListParagraph"/>
        <w:numPr>
          <w:ilvl w:val="0"/>
          <w:numId w:val="4"/>
        </w:num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Complex Care patients receiving medically complex care</w:t>
      </w:r>
    </w:p>
    <w:p w:rsidR="009C2D2C" w:rsidRDefault="009C2D2C" w:rsidP="009C2D2C">
      <w:pPr>
        <w:pStyle w:val="ListParagraph"/>
        <w:numPr>
          <w:ilvl w:val="0"/>
          <w:numId w:val="4"/>
        </w:num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Alternate level of care patients waiting for a complex care or long term care bed</w:t>
      </w:r>
    </w:p>
    <w:p w:rsidR="009C2D2C" w:rsidRDefault="009C2D2C" w:rsidP="009C2D2C">
      <w:p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C2D2C" w:rsidRDefault="009C2D2C" w:rsidP="009C2D2C">
      <w:pPr>
        <w:tabs>
          <w:tab w:val="left" w:pos="3597"/>
        </w:tabs>
        <w:spacing w:line="300" w:lineRule="auto"/>
        <w:ind w:left="360"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charge is currently a maximum of </w:t>
      </w:r>
      <w:r w:rsidR="00172228">
        <w:rPr>
          <w:rFonts w:asciiTheme="minorHAnsi" w:hAnsiTheme="minorHAnsi" w:cstheme="minorHAnsi"/>
          <w:b/>
          <w:sz w:val="20"/>
          <w:szCs w:val="20"/>
        </w:rPr>
        <w:t>$65.32</w:t>
      </w:r>
      <w:r w:rsidRPr="001F05E4">
        <w:rPr>
          <w:rFonts w:asciiTheme="minorHAnsi" w:hAnsiTheme="minorHAnsi" w:cstheme="minorHAnsi"/>
          <w:b/>
          <w:sz w:val="20"/>
          <w:szCs w:val="20"/>
        </w:rPr>
        <w:t xml:space="preserve"> per day </w:t>
      </w:r>
      <w:r>
        <w:rPr>
          <w:rFonts w:asciiTheme="minorHAnsi" w:hAnsiTheme="minorHAnsi" w:cstheme="minorHAnsi"/>
          <w:sz w:val="20"/>
          <w:szCs w:val="20"/>
        </w:rPr>
        <w:t xml:space="preserve">to a maximum of </w:t>
      </w:r>
      <w:r w:rsidR="00172228">
        <w:rPr>
          <w:rFonts w:asciiTheme="minorHAnsi" w:hAnsiTheme="minorHAnsi" w:cstheme="minorHAnsi"/>
          <w:b/>
          <w:sz w:val="20"/>
          <w:szCs w:val="20"/>
        </w:rPr>
        <w:t>$1,986.82</w:t>
      </w:r>
      <w:r w:rsidRPr="001F05E4">
        <w:rPr>
          <w:rFonts w:asciiTheme="minorHAnsi" w:hAnsiTheme="minorHAnsi" w:cstheme="minorHAnsi"/>
          <w:b/>
          <w:sz w:val="20"/>
          <w:szCs w:val="20"/>
        </w:rPr>
        <w:t xml:space="preserve"> per month</w:t>
      </w:r>
      <w:r>
        <w:rPr>
          <w:rFonts w:asciiTheme="minorHAnsi" w:hAnsiTheme="minorHAnsi" w:cstheme="minorHAnsi"/>
          <w:sz w:val="20"/>
          <w:szCs w:val="20"/>
        </w:rPr>
        <w:t xml:space="preserve"> (effective </w:t>
      </w:r>
      <w:r w:rsidR="00172228">
        <w:rPr>
          <w:rFonts w:asciiTheme="minorHAnsi" w:hAnsiTheme="minorHAnsi" w:cstheme="minorHAnsi"/>
          <w:sz w:val="20"/>
          <w:szCs w:val="20"/>
        </w:rPr>
        <w:t>August 1, 2023</w:t>
      </w:r>
      <w:r>
        <w:rPr>
          <w:rFonts w:asciiTheme="minorHAnsi" w:hAnsiTheme="minorHAnsi" w:cstheme="minorHAnsi"/>
          <w:sz w:val="20"/>
          <w:szCs w:val="20"/>
        </w:rPr>
        <w:t xml:space="preserve">).  This charge is set by the Ministry of Health and Long Term Care and updated annually. </w:t>
      </w:r>
    </w:p>
    <w:p w:rsidR="00FD2879" w:rsidRDefault="00FD2879" w:rsidP="009C2D2C">
      <w:pPr>
        <w:tabs>
          <w:tab w:val="left" w:pos="3597"/>
        </w:tabs>
        <w:spacing w:line="300" w:lineRule="auto"/>
        <w:ind w:left="360" w:right="645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7"/>
      </w:tblGrid>
      <w:tr w:rsidR="00FD2879" w:rsidTr="00FD2879">
        <w:trPr>
          <w:trHeight w:val="443"/>
        </w:trPr>
        <w:tc>
          <w:tcPr>
            <w:tcW w:w="11197" w:type="dxa"/>
            <w:shd w:val="clear" w:color="auto" w:fill="BFBFBF"/>
          </w:tcPr>
          <w:p w:rsidR="00FD2879" w:rsidRDefault="00FD2879" w:rsidP="00D91A88">
            <w:pPr>
              <w:pStyle w:val="TableParagraph"/>
              <w:spacing w:before="91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3"/>
              </w:rPr>
              <w:t>REFUSING DISCHARGE FROM HOSPITAL:</w:t>
            </w:r>
          </w:p>
        </w:tc>
      </w:tr>
    </w:tbl>
    <w:p w:rsidR="00FD2879" w:rsidRDefault="00FD2879" w:rsidP="009C2D2C">
      <w:pPr>
        <w:tabs>
          <w:tab w:val="left" w:pos="3597"/>
        </w:tabs>
        <w:spacing w:line="300" w:lineRule="auto"/>
        <w:ind w:left="360" w:right="645"/>
        <w:rPr>
          <w:rFonts w:asciiTheme="minorHAnsi" w:hAnsiTheme="minorHAnsi" w:cstheme="minorHAnsi"/>
          <w:sz w:val="20"/>
          <w:szCs w:val="20"/>
        </w:rPr>
      </w:pPr>
    </w:p>
    <w:p w:rsidR="00FD2879" w:rsidRDefault="00FD2879" w:rsidP="009C2D2C">
      <w:pPr>
        <w:tabs>
          <w:tab w:val="left" w:pos="3597"/>
        </w:tabs>
        <w:spacing w:line="300" w:lineRule="auto"/>
        <w:ind w:left="360" w:right="6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Effective November 20</w:t>
      </w:r>
      <w:r w:rsidRPr="00FD287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, 2022, hospitals will be required under the </w:t>
      </w:r>
      <w:r w:rsidRPr="00FD2879">
        <w:rPr>
          <w:rFonts w:asciiTheme="minorHAnsi" w:hAnsiTheme="minorHAnsi" w:cstheme="minorHAnsi"/>
          <w:i/>
          <w:sz w:val="20"/>
          <w:szCs w:val="20"/>
        </w:rPr>
        <w:t>Public Hospitals Act</w:t>
      </w:r>
      <w:r>
        <w:rPr>
          <w:rFonts w:asciiTheme="minorHAnsi" w:hAnsiTheme="minorHAnsi" w:cstheme="minorHAnsi"/>
          <w:sz w:val="20"/>
          <w:szCs w:val="20"/>
        </w:rPr>
        <w:t xml:space="preserve"> regulations to charge a standardized daily fee of $400 to patients who no longer require hospital care, but who remain in hospital after being discharged, including ALC patients who have been authorized for admis</w:t>
      </w:r>
      <w:r w:rsidR="000154DD">
        <w:rPr>
          <w:rFonts w:asciiTheme="minorHAnsi" w:hAnsiTheme="minorHAnsi" w:cstheme="minorHAnsi"/>
          <w:sz w:val="20"/>
          <w:szCs w:val="20"/>
        </w:rPr>
        <w:t>sion to a long-term care home.  This fee will be charged every day that the discharged patient remains in the hospital after a 24-hour period.</w:t>
      </w:r>
    </w:p>
    <w:p w:rsidR="00FD2879" w:rsidRPr="009C2D2C" w:rsidRDefault="00FD2879" w:rsidP="009C2D2C">
      <w:pPr>
        <w:tabs>
          <w:tab w:val="left" w:pos="3597"/>
        </w:tabs>
        <w:spacing w:line="300" w:lineRule="auto"/>
        <w:ind w:left="360" w:right="645"/>
        <w:rPr>
          <w:rFonts w:asciiTheme="minorHAnsi" w:hAnsiTheme="minorHAnsi" w:cstheme="minorHAnsi"/>
          <w:sz w:val="20"/>
          <w:szCs w:val="20"/>
        </w:rPr>
      </w:pPr>
    </w:p>
    <w:p w:rsidR="009C2D2C" w:rsidRDefault="009C2D2C" w:rsidP="009C2D2C">
      <w:p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</w:pPr>
    </w:p>
    <w:p w:rsidR="009C2D2C" w:rsidRPr="009C2D2C" w:rsidRDefault="009C2D2C" w:rsidP="009C2D2C">
      <w:pPr>
        <w:tabs>
          <w:tab w:val="left" w:pos="3597"/>
        </w:tabs>
        <w:spacing w:line="300" w:lineRule="auto"/>
        <w:ind w:right="645"/>
        <w:rPr>
          <w:rFonts w:asciiTheme="minorHAnsi" w:hAnsiTheme="minorHAnsi" w:cstheme="minorHAnsi"/>
          <w:sz w:val="20"/>
          <w:szCs w:val="20"/>
        </w:rPr>
        <w:sectPr w:rsidR="009C2D2C" w:rsidRPr="009C2D2C">
          <w:type w:val="continuous"/>
          <w:pgSz w:w="12240" w:h="15840"/>
          <w:pgMar w:top="340" w:right="100" w:bottom="280" w:left="200" w:header="720" w:footer="720" w:gutter="0"/>
          <w:cols w:space="720"/>
        </w:sectPr>
      </w:pPr>
    </w:p>
    <w:p w:rsidR="00DB32CD" w:rsidRDefault="00DB32CD" w:rsidP="00087EBB">
      <w:pPr>
        <w:pStyle w:val="BodyText"/>
        <w:rPr>
          <w:sz w:val="19"/>
        </w:rPr>
      </w:pPr>
    </w:p>
    <w:sectPr w:rsidR="00DB32CD" w:rsidSect="00087EBB">
      <w:pgSz w:w="12240" w:h="15840"/>
      <w:pgMar w:top="80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7247"/>
    <w:multiLevelType w:val="hybridMultilevel"/>
    <w:tmpl w:val="BF247EE4"/>
    <w:lvl w:ilvl="0" w:tplc="756E8576">
      <w:numFmt w:val="bullet"/>
      <w:lvlText w:val="-"/>
      <w:lvlJc w:val="left"/>
      <w:pPr>
        <w:ind w:left="569" w:hanging="113"/>
      </w:pPr>
      <w:rPr>
        <w:rFonts w:ascii="Arial" w:eastAsia="Arial" w:hAnsi="Arial" w:cs="Arial" w:hint="default"/>
        <w:color w:val="010101"/>
        <w:w w:val="91"/>
        <w:sz w:val="19"/>
        <w:szCs w:val="19"/>
      </w:rPr>
    </w:lvl>
    <w:lvl w:ilvl="1" w:tplc="62B678B2">
      <w:numFmt w:val="bullet"/>
      <w:lvlText w:val="•"/>
      <w:lvlJc w:val="left"/>
      <w:pPr>
        <w:ind w:left="857" w:hanging="113"/>
      </w:pPr>
      <w:rPr>
        <w:rFonts w:hint="default"/>
      </w:rPr>
    </w:lvl>
    <w:lvl w:ilvl="2" w:tplc="C7465C2E">
      <w:numFmt w:val="bullet"/>
      <w:lvlText w:val="•"/>
      <w:lvlJc w:val="left"/>
      <w:pPr>
        <w:ind w:left="1154" w:hanging="113"/>
      </w:pPr>
      <w:rPr>
        <w:rFonts w:hint="default"/>
      </w:rPr>
    </w:lvl>
    <w:lvl w:ilvl="3" w:tplc="D060AB8C">
      <w:numFmt w:val="bullet"/>
      <w:lvlText w:val="•"/>
      <w:lvlJc w:val="left"/>
      <w:pPr>
        <w:ind w:left="1451" w:hanging="113"/>
      </w:pPr>
      <w:rPr>
        <w:rFonts w:hint="default"/>
      </w:rPr>
    </w:lvl>
    <w:lvl w:ilvl="4" w:tplc="C91006DC">
      <w:numFmt w:val="bullet"/>
      <w:lvlText w:val="•"/>
      <w:lvlJc w:val="left"/>
      <w:pPr>
        <w:ind w:left="1748" w:hanging="113"/>
      </w:pPr>
      <w:rPr>
        <w:rFonts w:hint="default"/>
      </w:rPr>
    </w:lvl>
    <w:lvl w:ilvl="5" w:tplc="725A842E">
      <w:numFmt w:val="bullet"/>
      <w:lvlText w:val="•"/>
      <w:lvlJc w:val="left"/>
      <w:pPr>
        <w:ind w:left="2045" w:hanging="113"/>
      </w:pPr>
      <w:rPr>
        <w:rFonts w:hint="default"/>
      </w:rPr>
    </w:lvl>
    <w:lvl w:ilvl="6" w:tplc="49B29CDE">
      <w:numFmt w:val="bullet"/>
      <w:lvlText w:val="•"/>
      <w:lvlJc w:val="left"/>
      <w:pPr>
        <w:ind w:left="2342" w:hanging="113"/>
      </w:pPr>
      <w:rPr>
        <w:rFonts w:hint="default"/>
      </w:rPr>
    </w:lvl>
    <w:lvl w:ilvl="7" w:tplc="5DB8E16C">
      <w:numFmt w:val="bullet"/>
      <w:lvlText w:val="•"/>
      <w:lvlJc w:val="left"/>
      <w:pPr>
        <w:ind w:left="2639" w:hanging="113"/>
      </w:pPr>
      <w:rPr>
        <w:rFonts w:hint="default"/>
      </w:rPr>
    </w:lvl>
    <w:lvl w:ilvl="8" w:tplc="9CD65818">
      <w:numFmt w:val="bullet"/>
      <w:lvlText w:val="•"/>
      <w:lvlJc w:val="left"/>
      <w:pPr>
        <w:ind w:left="2936" w:hanging="113"/>
      </w:pPr>
      <w:rPr>
        <w:rFonts w:hint="default"/>
      </w:rPr>
    </w:lvl>
  </w:abstractNum>
  <w:abstractNum w:abstractNumId="1" w15:restartNumberingAfterBreak="0">
    <w:nsid w:val="584B729C"/>
    <w:multiLevelType w:val="hybridMultilevel"/>
    <w:tmpl w:val="38B864FA"/>
    <w:lvl w:ilvl="0" w:tplc="2DE410EC">
      <w:numFmt w:val="bullet"/>
      <w:lvlText w:val="•"/>
      <w:lvlJc w:val="left"/>
      <w:pPr>
        <w:ind w:left="707" w:hanging="525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ACDABE24">
      <w:numFmt w:val="bullet"/>
      <w:lvlText w:val="•"/>
      <w:lvlJc w:val="left"/>
      <w:pPr>
        <w:ind w:left="1824" w:hanging="525"/>
      </w:pPr>
      <w:rPr>
        <w:rFonts w:hint="default"/>
      </w:rPr>
    </w:lvl>
    <w:lvl w:ilvl="2" w:tplc="F9F0FCAC">
      <w:numFmt w:val="bullet"/>
      <w:lvlText w:val="•"/>
      <w:lvlJc w:val="left"/>
      <w:pPr>
        <w:ind w:left="2948" w:hanging="525"/>
      </w:pPr>
      <w:rPr>
        <w:rFonts w:hint="default"/>
      </w:rPr>
    </w:lvl>
    <w:lvl w:ilvl="3" w:tplc="E27AFC3C">
      <w:numFmt w:val="bullet"/>
      <w:lvlText w:val="•"/>
      <w:lvlJc w:val="left"/>
      <w:pPr>
        <w:ind w:left="4072" w:hanging="525"/>
      </w:pPr>
      <w:rPr>
        <w:rFonts w:hint="default"/>
      </w:rPr>
    </w:lvl>
    <w:lvl w:ilvl="4" w:tplc="24D44AB0">
      <w:numFmt w:val="bullet"/>
      <w:lvlText w:val="•"/>
      <w:lvlJc w:val="left"/>
      <w:pPr>
        <w:ind w:left="5196" w:hanging="525"/>
      </w:pPr>
      <w:rPr>
        <w:rFonts w:hint="default"/>
      </w:rPr>
    </w:lvl>
    <w:lvl w:ilvl="5" w:tplc="95ECFFBA">
      <w:numFmt w:val="bullet"/>
      <w:lvlText w:val="•"/>
      <w:lvlJc w:val="left"/>
      <w:pPr>
        <w:ind w:left="6320" w:hanging="525"/>
      </w:pPr>
      <w:rPr>
        <w:rFonts w:hint="default"/>
      </w:rPr>
    </w:lvl>
    <w:lvl w:ilvl="6" w:tplc="21DAF994">
      <w:numFmt w:val="bullet"/>
      <w:lvlText w:val="•"/>
      <w:lvlJc w:val="left"/>
      <w:pPr>
        <w:ind w:left="7444" w:hanging="525"/>
      </w:pPr>
      <w:rPr>
        <w:rFonts w:hint="default"/>
      </w:rPr>
    </w:lvl>
    <w:lvl w:ilvl="7" w:tplc="29669426">
      <w:numFmt w:val="bullet"/>
      <w:lvlText w:val="•"/>
      <w:lvlJc w:val="left"/>
      <w:pPr>
        <w:ind w:left="8568" w:hanging="525"/>
      </w:pPr>
      <w:rPr>
        <w:rFonts w:hint="default"/>
      </w:rPr>
    </w:lvl>
    <w:lvl w:ilvl="8" w:tplc="D9DC65F8">
      <w:numFmt w:val="bullet"/>
      <w:lvlText w:val="•"/>
      <w:lvlJc w:val="left"/>
      <w:pPr>
        <w:ind w:left="9692" w:hanging="525"/>
      </w:pPr>
      <w:rPr>
        <w:rFonts w:hint="default"/>
      </w:rPr>
    </w:lvl>
  </w:abstractNum>
  <w:abstractNum w:abstractNumId="2" w15:restartNumberingAfterBreak="0">
    <w:nsid w:val="69A94E13"/>
    <w:multiLevelType w:val="hybridMultilevel"/>
    <w:tmpl w:val="D9EAA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410"/>
    <w:multiLevelType w:val="hybridMultilevel"/>
    <w:tmpl w:val="A89CF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B32CD"/>
    <w:rsid w:val="000154DD"/>
    <w:rsid w:val="00031852"/>
    <w:rsid w:val="000673FB"/>
    <w:rsid w:val="00087EBB"/>
    <w:rsid w:val="00107013"/>
    <w:rsid w:val="00172228"/>
    <w:rsid w:val="00182DFA"/>
    <w:rsid w:val="001F05E4"/>
    <w:rsid w:val="00271FAA"/>
    <w:rsid w:val="002936B5"/>
    <w:rsid w:val="002A1F7A"/>
    <w:rsid w:val="002C26FA"/>
    <w:rsid w:val="002D222C"/>
    <w:rsid w:val="002E4930"/>
    <w:rsid w:val="002E540A"/>
    <w:rsid w:val="00307C9B"/>
    <w:rsid w:val="00327A7F"/>
    <w:rsid w:val="004C4B93"/>
    <w:rsid w:val="00522712"/>
    <w:rsid w:val="00666833"/>
    <w:rsid w:val="007A0A37"/>
    <w:rsid w:val="00874855"/>
    <w:rsid w:val="00874A1B"/>
    <w:rsid w:val="00895932"/>
    <w:rsid w:val="008D1DE0"/>
    <w:rsid w:val="008F1345"/>
    <w:rsid w:val="0090089F"/>
    <w:rsid w:val="00946055"/>
    <w:rsid w:val="009C2D2C"/>
    <w:rsid w:val="009E4686"/>
    <w:rsid w:val="00A04CC0"/>
    <w:rsid w:val="00AB45CE"/>
    <w:rsid w:val="00CA6EDD"/>
    <w:rsid w:val="00CB1FD8"/>
    <w:rsid w:val="00D61917"/>
    <w:rsid w:val="00DB32CD"/>
    <w:rsid w:val="00E25151"/>
    <w:rsid w:val="00E93C72"/>
    <w:rsid w:val="00EB782B"/>
    <w:rsid w:val="00F02968"/>
    <w:rsid w:val="00F959F3"/>
    <w:rsid w:val="00FB36D3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39625AC"/>
  <w15:docId w15:val="{527498C9-F6BD-4EC2-AA9E-408D9D8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72"/>
      <w:ind w:left="4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4"/>
      <w:ind w:left="707" w:hanging="53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B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JBH Hospital Rate Schedule eff Apr1st 2016 MASTER JL.xls</vt:lpstr>
    </vt:vector>
  </TitlesOfParts>
  <Company>Joseph Brant Hospital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JBH Hospital Rate Schedule eff Apr1st 2016 MASTER JL.xls</dc:title>
  <dc:creator>mandalfino_m</dc:creator>
  <cp:lastModifiedBy>Nayab Tahir</cp:lastModifiedBy>
  <cp:revision>44</cp:revision>
  <cp:lastPrinted>2022-10-24T19:06:00Z</cp:lastPrinted>
  <dcterms:created xsi:type="dcterms:W3CDTF">2022-09-15T14:06:00Z</dcterms:created>
  <dcterms:modified xsi:type="dcterms:W3CDTF">2023-07-26T19:14:00Z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2022-09-15T00:00:00Z</vt:filetime>
  </property>
</Properties>
</file>